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8E72F3" w14:textId="775E34C9" w:rsidR="00D309CC" w:rsidRPr="008365C4" w:rsidRDefault="00D309CC" w:rsidP="00D46431">
      <w:pPr>
        <w:pStyle w:val="CH"/>
      </w:pPr>
      <w:bookmarkStart w:id="0" w:name="historyclause"/>
      <w:r w:rsidRPr="008365C4">
        <w:t>3GPP RAN</w:t>
      </w:r>
      <w:r w:rsidR="00CF20E3" w:rsidRPr="008365C4">
        <w:t xml:space="preserve"> TSG</w:t>
      </w:r>
      <w:r w:rsidR="007A02A9" w:rsidRPr="008365C4">
        <w:t>-RAN4</w:t>
      </w:r>
      <w:r w:rsidRPr="008365C4">
        <w:t xml:space="preserve"> Meeting </w:t>
      </w:r>
      <w:r w:rsidR="00FC7769" w:rsidRPr="008365C4">
        <w:t>106</w:t>
      </w:r>
      <w:r w:rsidRPr="008365C4">
        <w:tab/>
      </w:r>
      <w:r w:rsidR="00D46431" w:rsidRPr="008365C4">
        <w:tab/>
      </w:r>
      <w:r w:rsidRPr="008365C4">
        <w:t>R</w:t>
      </w:r>
      <w:r w:rsidR="00354DC1">
        <w:t>4</w:t>
      </w:r>
      <w:r w:rsidRPr="008365C4">
        <w:t>-</w:t>
      </w:r>
      <w:r w:rsidR="00FD00E8">
        <w:t>2300365</w:t>
      </w:r>
    </w:p>
    <w:p w14:paraId="39A0EE25" w14:textId="7006785A" w:rsidR="00D309CC" w:rsidRDefault="007A02A9" w:rsidP="008365C4">
      <w:pPr>
        <w:pStyle w:val="CH"/>
        <w:tabs>
          <w:tab w:val="clear" w:pos="7920"/>
        </w:tabs>
      </w:pPr>
      <w:r w:rsidRPr="008365C4">
        <w:t>Athens</w:t>
      </w:r>
      <w:r w:rsidR="00D309CC" w:rsidRPr="008365C4">
        <w:t xml:space="preserve">, </w:t>
      </w:r>
      <w:r w:rsidRPr="008365C4">
        <w:t>Greece</w:t>
      </w:r>
      <w:r w:rsidR="00D309CC" w:rsidRPr="008365C4">
        <w:t xml:space="preserve">, </w:t>
      </w:r>
      <w:r w:rsidRPr="008365C4">
        <w:t>February 27</w:t>
      </w:r>
      <w:r w:rsidRPr="008365C4">
        <w:rPr>
          <w:vertAlign w:val="superscript"/>
        </w:rPr>
        <w:t>th</w:t>
      </w:r>
      <w:r w:rsidRPr="008365C4">
        <w:t xml:space="preserve"> – March 3</w:t>
      </w:r>
      <w:r w:rsidRPr="008365C4">
        <w:rPr>
          <w:vertAlign w:val="superscript"/>
        </w:rPr>
        <w:t>rd</w:t>
      </w:r>
      <w:r w:rsidR="008365C4" w:rsidRPr="008365C4">
        <w:t>, 2023</w:t>
      </w:r>
    </w:p>
    <w:p w14:paraId="434408FC" w14:textId="77777777" w:rsidR="008365C4" w:rsidRPr="008365C4" w:rsidRDefault="008365C4" w:rsidP="008365C4">
      <w:pPr>
        <w:pStyle w:val="CH"/>
        <w:tabs>
          <w:tab w:val="clear" w:pos="7920"/>
        </w:tabs>
        <w:rPr>
          <w:b w:val="0"/>
        </w:rPr>
      </w:pPr>
    </w:p>
    <w:p w14:paraId="6DDCE159" w14:textId="76A0D905" w:rsidR="00D309CC" w:rsidRPr="008365C4" w:rsidRDefault="00D309CC" w:rsidP="00D309CC">
      <w:pPr>
        <w:pStyle w:val="CH"/>
        <w:rPr>
          <w:b w:val="0"/>
        </w:rPr>
      </w:pPr>
      <w:r w:rsidRPr="008365C4">
        <w:t>Agenda item:</w:t>
      </w:r>
      <w:r w:rsidRPr="008365C4">
        <w:tab/>
      </w:r>
      <w:r w:rsidR="008365C4">
        <w:t>9.22.2.1</w:t>
      </w:r>
    </w:p>
    <w:p w14:paraId="4DBE005A" w14:textId="77777777" w:rsidR="00D309CC" w:rsidRPr="008365C4" w:rsidRDefault="00D309CC" w:rsidP="00D309CC">
      <w:pPr>
        <w:pStyle w:val="CH"/>
        <w:rPr>
          <w:b w:val="0"/>
        </w:rPr>
      </w:pPr>
      <w:r w:rsidRPr="008365C4">
        <w:t>Source:</w:t>
      </w:r>
      <w:r w:rsidRPr="008365C4">
        <w:tab/>
        <w:t>Apple Inc.</w:t>
      </w:r>
    </w:p>
    <w:p w14:paraId="0D2061A1" w14:textId="1359CF2F" w:rsidR="00D309CC" w:rsidRPr="008365C4" w:rsidRDefault="00D309CC" w:rsidP="00D309CC">
      <w:pPr>
        <w:pStyle w:val="CH"/>
      </w:pPr>
      <w:r w:rsidRPr="008365C4">
        <w:t>Title:</w:t>
      </w:r>
      <w:r w:rsidRPr="008365C4">
        <w:tab/>
      </w:r>
      <w:r w:rsidR="007A02A9" w:rsidRPr="008365C4">
        <w:t>Rel-18 Further Discussions on the UE UL TX Switching for 3 or 4 bands</w:t>
      </w:r>
    </w:p>
    <w:p w14:paraId="052B1E0C" w14:textId="335E8150" w:rsidR="00104BC6" w:rsidRPr="008365C4" w:rsidRDefault="00104BC6" w:rsidP="00D309CC">
      <w:pPr>
        <w:pStyle w:val="CH"/>
      </w:pPr>
      <w:r w:rsidRPr="008365C4">
        <w:t>WI/SI:</w:t>
      </w:r>
      <w:r w:rsidRPr="008365C4">
        <w:tab/>
      </w:r>
      <w:r w:rsidR="008365C4">
        <w:t>NR_MC_enh-Core</w:t>
      </w:r>
    </w:p>
    <w:p w14:paraId="6C6D1281" w14:textId="5A3C990C" w:rsidR="00104BC6" w:rsidRPr="008365C4" w:rsidRDefault="00104BC6" w:rsidP="00D309CC">
      <w:pPr>
        <w:pStyle w:val="CH"/>
        <w:rPr>
          <w:b w:val="0"/>
        </w:rPr>
      </w:pPr>
      <w:r w:rsidRPr="008365C4">
        <w:t>Release:</w:t>
      </w:r>
      <w:r w:rsidRPr="008365C4">
        <w:tab/>
        <w:t>Rel-</w:t>
      </w:r>
      <w:r w:rsidR="008365C4">
        <w:t>18</w:t>
      </w:r>
    </w:p>
    <w:p w14:paraId="2E4E044D" w14:textId="77777777" w:rsidR="00D309CC" w:rsidRDefault="00D309CC" w:rsidP="00D309CC">
      <w:pPr>
        <w:pStyle w:val="CH"/>
      </w:pPr>
      <w:r w:rsidRPr="008365C4">
        <w:t>Document for:</w:t>
      </w:r>
      <w:r w:rsidRPr="008365C4">
        <w:tab/>
        <w:t>Discussion</w:t>
      </w:r>
    </w:p>
    <w:p w14:paraId="0207DB43" w14:textId="77777777" w:rsidR="00D46431" w:rsidRPr="0008103A" w:rsidRDefault="00D46431" w:rsidP="00D309CC">
      <w:pPr>
        <w:pStyle w:val="CH"/>
        <w:rPr>
          <w:b w:val="0"/>
        </w:rPr>
      </w:pPr>
    </w:p>
    <w:p w14:paraId="0273524A" w14:textId="77777777" w:rsidR="008E7986" w:rsidRPr="004D3578" w:rsidRDefault="008E7986" w:rsidP="008E7986">
      <w:pPr>
        <w:pStyle w:val="Heading1"/>
      </w:pPr>
      <w:r>
        <w:t>1</w:t>
      </w:r>
      <w:r>
        <w:tab/>
      </w:r>
      <w:r w:rsidRPr="004D3578">
        <w:t>Introduction</w:t>
      </w:r>
      <w:r>
        <w:t xml:space="preserve"> </w:t>
      </w:r>
    </w:p>
    <w:p w14:paraId="06E92CC7" w14:textId="3515709C" w:rsidR="008E7986" w:rsidRDefault="007A02A9" w:rsidP="007A02A9">
      <w:pPr>
        <w:overflowPunct w:val="0"/>
        <w:autoSpaceDE w:val="0"/>
        <w:autoSpaceDN w:val="0"/>
        <w:adjustRightInd w:val="0"/>
        <w:snapToGrid w:val="0"/>
        <w:spacing w:before="60" w:after="120"/>
        <w:textAlignment w:val="baseline"/>
      </w:pPr>
      <w:r w:rsidRPr="0075597B">
        <w:rPr>
          <w:sz w:val="22"/>
        </w:rPr>
        <w:t>In RAN4</w:t>
      </w:r>
      <w:r>
        <w:rPr>
          <w:sz w:val="22"/>
        </w:rPr>
        <w:t xml:space="preserve"> </w:t>
      </w:r>
      <w:r w:rsidRPr="0075597B">
        <w:rPr>
          <w:sz w:val="22"/>
        </w:rPr>
        <w:t>#</w:t>
      </w:r>
      <w:r>
        <w:rPr>
          <w:sz w:val="22"/>
        </w:rPr>
        <w:t xml:space="preserve"> </w:t>
      </w:r>
      <w:r w:rsidRPr="0075597B">
        <w:rPr>
          <w:sz w:val="22"/>
        </w:rPr>
        <w:t>10</w:t>
      </w:r>
      <w:r>
        <w:rPr>
          <w:sz w:val="22"/>
        </w:rPr>
        <w:t xml:space="preserve">5 </w:t>
      </w:r>
      <w:r w:rsidRPr="0075597B">
        <w:rPr>
          <w:sz w:val="22"/>
        </w:rPr>
        <w:t>meeting, Re</w:t>
      </w:r>
      <w:r>
        <w:rPr>
          <w:sz w:val="22"/>
        </w:rPr>
        <w:t xml:space="preserve">lease </w:t>
      </w:r>
      <w:r w:rsidRPr="0075597B">
        <w:rPr>
          <w:sz w:val="22"/>
        </w:rPr>
        <w:t xml:space="preserve">18 </w:t>
      </w:r>
      <w:r>
        <w:rPr>
          <w:sz w:val="22"/>
        </w:rPr>
        <w:t xml:space="preserve">UE </w:t>
      </w:r>
      <w:r w:rsidRPr="0075597B">
        <w:rPr>
          <w:sz w:val="22"/>
        </w:rPr>
        <w:t>uplink Tx switching enhancements</w:t>
      </w:r>
      <w:r>
        <w:rPr>
          <w:sz w:val="22"/>
        </w:rPr>
        <w:t xml:space="preserve"> were </w:t>
      </w:r>
      <w:r w:rsidRPr="004276A4">
        <w:rPr>
          <w:sz w:val="22"/>
        </w:rPr>
        <w:t xml:space="preserve">discussed and </w:t>
      </w:r>
      <w:r>
        <w:rPr>
          <w:sz w:val="22"/>
        </w:rPr>
        <w:t xml:space="preserve">the </w:t>
      </w:r>
      <w:r w:rsidR="0015264E">
        <w:rPr>
          <w:sz w:val="22"/>
        </w:rPr>
        <w:t xml:space="preserve">approved </w:t>
      </w:r>
      <w:r w:rsidRPr="004276A4">
        <w:rPr>
          <w:sz w:val="22"/>
        </w:rPr>
        <w:t>way</w:t>
      </w:r>
      <w:r w:rsidR="00C4330D">
        <w:rPr>
          <w:sz w:val="22"/>
        </w:rPr>
        <w:t>s</w:t>
      </w:r>
      <w:r w:rsidRPr="004276A4">
        <w:rPr>
          <w:sz w:val="22"/>
        </w:rPr>
        <w:t xml:space="preserve"> fo</w:t>
      </w:r>
      <w:r w:rsidR="0015264E">
        <w:rPr>
          <w:sz w:val="22"/>
        </w:rPr>
        <w:t xml:space="preserve">rward can be found in </w:t>
      </w:r>
      <w:r>
        <w:rPr>
          <w:sz w:val="22"/>
        </w:rPr>
        <w:t>[1</w:t>
      </w:r>
      <w:r>
        <w:rPr>
          <w:rFonts w:hint="eastAsia"/>
          <w:sz w:val="22"/>
        </w:rPr>
        <w:t>]</w:t>
      </w:r>
      <w:r w:rsidRPr="0075597B">
        <w:rPr>
          <w:sz w:val="22"/>
        </w:rPr>
        <w:t xml:space="preserve">. </w:t>
      </w:r>
      <w:r>
        <w:rPr>
          <w:sz w:val="22"/>
        </w:rPr>
        <w:t>In this contribution, we further discuss the impacts of switching one TX chain on the other TX chain and make proposals for the UE RF requirements.</w:t>
      </w:r>
    </w:p>
    <w:p w14:paraId="3FF38AF8" w14:textId="4D6CBD37" w:rsidR="003669FD" w:rsidRPr="003669FD" w:rsidRDefault="008E7986" w:rsidP="003669FD">
      <w:pPr>
        <w:pStyle w:val="Heading1"/>
      </w:pPr>
      <w:r>
        <w:t>2</w:t>
      </w:r>
      <w:r>
        <w:tab/>
      </w:r>
      <w:r w:rsidR="007A02A9">
        <w:t>Discussions</w:t>
      </w:r>
      <w:r>
        <w:t xml:space="preserve"> </w:t>
      </w:r>
    </w:p>
    <w:p w14:paraId="2ED90DB7" w14:textId="3E534DB2" w:rsidR="008E7986" w:rsidRDefault="008E7986" w:rsidP="008E7986">
      <w:pPr>
        <w:pStyle w:val="Heading2"/>
      </w:pPr>
      <w:r>
        <w:t>2.1</w:t>
      </w:r>
      <w:r>
        <w:tab/>
      </w:r>
      <w:r w:rsidR="003669FD">
        <w:t xml:space="preserve">Impacts of Switching One TX Chain </w:t>
      </w:r>
      <w:r w:rsidR="008A4443">
        <w:t>on</w:t>
      </w:r>
      <w:r w:rsidR="003669FD">
        <w:t xml:space="preserve"> The Other TX Chain</w:t>
      </w:r>
    </w:p>
    <w:p w14:paraId="1F857BB2" w14:textId="5DF21968" w:rsidR="003669FD" w:rsidRPr="003669FD" w:rsidRDefault="003669FD" w:rsidP="003669FD">
      <w:pPr>
        <w:pStyle w:val="ListParagraph"/>
        <w:numPr>
          <w:ilvl w:val="0"/>
          <w:numId w:val="10"/>
        </w:numPr>
        <w:overflowPunct/>
        <w:autoSpaceDE/>
        <w:autoSpaceDN/>
        <w:adjustRightInd/>
        <w:snapToGrid w:val="0"/>
        <w:spacing w:before="60" w:after="60"/>
        <w:ind w:left="284" w:hanging="284"/>
        <w:contextualSpacing w:val="0"/>
        <w:textAlignment w:val="auto"/>
        <w:rPr>
          <w:b/>
          <w:sz w:val="22"/>
          <w:szCs w:val="22"/>
          <w:lang w:eastAsia="zh-CN"/>
        </w:rPr>
      </w:pPr>
      <w:r w:rsidRPr="003669FD">
        <w:rPr>
          <w:rFonts w:hint="eastAsia"/>
          <w:sz w:val="22"/>
          <w:szCs w:val="22"/>
          <w:lang w:eastAsia="zh-CN"/>
        </w:rPr>
        <w:t xml:space="preserve">For the impact on the band </w:t>
      </w:r>
      <w:r w:rsidRPr="003669FD">
        <w:rPr>
          <w:sz w:val="22"/>
          <w:szCs w:val="22"/>
          <w:lang w:eastAsia="zh-CN"/>
        </w:rPr>
        <w:t xml:space="preserve">with the number of Tx chain </w:t>
      </w:r>
      <w:r w:rsidRPr="008A4443">
        <w:rPr>
          <w:rFonts w:hint="eastAsia"/>
          <w:bCs/>
          <w:sz w:val="22"/>
          <w:szCs w:val="22"/>
          <w:lang w:eastAsia="zh-CN"/>
        </w:rPr>
        <w:t>un</w:t>
      </w:r>
      <w:r w:rsidRPr="008A4443">
        <w:rPr>
          <w:bCs/>
          <w:sz w:val="22"/>
          <w:szCs w:val="22"/>
          <w:lang w:eastAsia="zh-CN"/>
        </w:rPr>
        <w:t>changed</w:t>
      </w:r>
      <w:r w:rsidRPr="003669FD">
        <w:rPr>
          <w:sz w:val="22"/>
          <w:szCs w:val="22"/>
          <w:lang w:eastAsia="zh-CN"/>
        </w:rPr>
        <w:t xml:space="preserve"> </w:t>
      </w:r>
      <w:r w:rsidRPr="003669FD">
        <w:rPr>
          <w:rFonts w:hint="eastAsia"/>
          <w:sz w:val="22"/>
          <w:szCs w:val="22"/>
          <w:lang w:eastAsia="zh-CN"/>
        </w:rPr>
        <w:t>due to</w:t>
      </w:r>
      <w:r w:rsidRPr="003669FD">
        <w:rPr>
          <w:sz w:val="22"/>
          <w:szCs w:val="22"/>
          <w:lang w:eastAsia="zh-CN"/>
        </w:rPr>
        <w:t xml:space="preserve"> switching</w:t>
      </w:r>
      <w:r w:rsidRPr="003669FD">
        <w:rPr>
          <w:rFonts w:hint="eastAsia"/>
          <w:sz w:val="22"/>
          <w:szCs w:val="22"/>
          <w:lang w:eastAsia="zh-CN"/>
        </w:rPr>
        <w:t>,</w:t>
      </w:r>
      <w:r>
        <w:rPr>
          <w:sz w:val="22"/>
          <w:szCs w:val="22"/>
          <w:lang w:eastAsia="zh-CN"/>
        </w:rPr>
        <w:t xml:space="preserve"> RAN4 # 105</w:t>
      </w:r>
      <w:r w:rsidRPr="003669FD">
        <w:rPr>
          <w:rFonts w:hint="eastAsia"/>
          <w:sz w:val="22"/>
          <w:szCs w:val="22"/>
          <w:lang w:eastAsia="zh-CN"/>
        </w:rPr>
        <w:t xml:space="preserve"> </w:t>
      </w:r>
      <w:r>
        <w:rPr>
          <w:sz w:val="22"/>
          <w:szCs w:val="22"/>
          <w:lang w:eastAsia="zh-CN"/>
        </w:rPr>
        <w:t xml:space="preserve">agreed with the baseline assumption from the RAN #104e meeting, which is that when one of the TX chains is triggered to switch from one band to another band, another TX chain, which is in any of the bands, is also not expected to be used for transmission during the TX switching among the 3 or 4 bands. In addition to this baseline assumption, RAN4 #105 also agreed to add the following option moving forward: </w:t>
      </w:r>
    </w:p>
    <w:p w14:paraId="5EE715BB" w14:textId="614D4F8E" w:rsidR="003669FD" w:rsidRPr="003669FD" w:rsidRDefault="003669FD" w:rsidP="003669FD">
      <w:pPr>
        <w:widowControl w:val="0"/>
        <w:numPr>
          <w:ilvl w:val="1"/>
          <w:numId w:val="9"/>
        </w:numPr>
        <w:tabs>
          <w:tab w:val="num" w:pos="484"/>
          <w:tab w:val="num" w:pos="851"/>
          <w:tab w:val="num" w:pos="1440"/>
          <w:tab w:val="num" w:pos="1701"/>
        </w:tabs>
        <w:overflowPunct w:val="0"/>
        <w:autoSpaceDE w:val="0"/>
        <w:autoSpaceDN w:val="0"/>
        <w:adjustRightInd w:val="0"/>
        <w:snapToGrid w:val="0"/>
        <w:spacing w:before="60" w:after="60"/>
        <w:ind w:leftChars="213" w:left="709" w:hanging="283"/>
        <w:textAlignment w:val="baseline"/>
        <w:rPr>
          <w:sz w:val="22"/>
          <w:szCs w:val="22"/>
          <w:lang w:val="en-US" w:eastAsia="zh-CN"/>
        </w:rPr>
      </w:pPr>
      <w:r w:rsidRPr="003669FD">
        <w:rPr>
          <w:sz w:val="22"/>
          <w:szCs w:val="22"/>
          <w:lang w:val="en-US" w:eastAsia="zh-CN"/>
        </w:rPr>
        <w:t xml:space="preserve">Option 1: </w:t>
      </w:r>
      <w:r w:rsidRPr="003669FD">
        <w:rPr>
          <w:sz w:val="22"/>
          <w:szCs w:val="22"/>
        </w:rPr>
        <w:t xml:space="preserve">Introduce </w:t>
      </w:r>
      <w:r>
        <w:rPr>
          <w:sz w:val="22"/>
          <w:szCs w:val="22"/>
        </w:rPr>
        <w:t xml:space="preserve">an </w:t>
      </w:r>
      <w:r w:rsidRPr="003669FD">
        <w:rPr>
          <w:sz w:val="22"/>
          <w:szCs w:val="22"/>
        </w:rPr>
        <w:t xml:space="preserve">optional UE capability </w:t>
      </w:r>
      <w:r w:rsidRPr="003669FD">
        <w:rPr>
          <w:sz w:val="22"/>
          <w:szCs w:val="22"/>
          <w:lang w:eastAsia="zh-CN"/>
        </w:rPr>
        <w:t>to allow</w:t>
      </w:r>
      <w:r w:rsidRPr="003669FD">
        <w:rPr>
          <w:sz w:val="22"/>
          <w:szCs w:val="22"/>
        </w:rPr>
        <w:t xml:space="preserve"> </w:t>
      </w:r>
      <w:r w:rsidRPr="003669FD">
        <w:rPr>
          <w:sz w:val="22"/>
          <w:szCs w:val="22"/>
          <w:lang w:eastAsia="zh-CN"/>
        </w:rPr>
        <w:t xml:space="preserve">UL </w:t>
      </w:r>
      <w:r w:rsidRPr="003669FD">
        <w:rPr>
          <w:sz w:val="22"/>
          <w:szCs w:val="22"/>
        </w:rPr>
        <w:t xml:space="preserve">transmission on the band with the number of Tx </w:t>
      </w:r>
      <w:r w:rsidRPr="003669FD">
        <w:rPr>
          <w:sz w:val="22"/>
          <w:szCs w:val="22"/>
          <w:lang w:val="en-US" w:eastAsia="zh-CN"/>
        </w:rPr>
        <w:t>chain</w:t>
      </w:r>
      <w:r w:rsidRPr="003669FD">
        <w:rPr>
          <w:sz w:val="22"/>
          <w:szCs w:val="22"/>
        </w:rPr>
        <w:t xml:space="preserve"> unchanged </w:t>
      </w:r>
      <w:r w:rsidRPr="003669FD">
        <w:rPr>
          <w:sz w:val="22"/>
          <w:szCs w:val="22"/>
          <w:lang w:eastAsia="zh-CN"/>
        </w:rPr>
        <w:t xml:space="preserve">(i.e., one Tx chain is maintained on the band) </w:t>
      </w:r>
      <w:r w:rsidRPr="003669FD">
        <w:rPr>
          <w:sz w:val="22"/>
          <w:szCs w:val="22"/>
        </w:rPr>
        <w:t>during UL switching.</w:t>
      </w:r>
      <w:r w:rsidRPr="003669FD">
        <w:rPr>
          <w:rFonts w:hint="eastAsia"/>
          <w:sz w:val="22"/>
          <w:szCs w:val="22"/>
          <w:lang w:eastAsia="zh-CN"/>
        </w:rPr>
        <w:t xml:space="preserve"> </w:t>
      </w:r>
      <w:r>
        <w:rPr>
          <w:sz w:val="22"/>
          <w:szCs w:val="22"/>
          <w:lang w:eastAsia="zh-CN"/>
        </w:rPr>
        <w:t xml:space="preserve"> </w:t>
      </w:r>
    </w:p>
    <w:p w14:paraId="3049929D" w14:textId="66DF5858" w:rsidR="003669FD" w:rsidRPr="003669FD" w:rsidRDefault="003669FD" w:rsidP="003669FD">
      <w:pPr>
        <w:pStyle w:val="ListParagraph"/>
        <w:numPr>
          <w:ilvl w:val="0"/>
          <w:numId w:val="10"/>
        </w:numPr>
        <w:overflowPunct/>
        <w:autoSpaceDE/>
        <w:autoSpaceDN/>
        <w:adjustRightInd/>
        <w:snapToGrid w:val="0"/>
        <w:spacing w:before="60" w:after="60"/>
        <w:ind w:left="284" w:hanging="284"/>
        <w:contextualSpacing w:val="0"/>
        <w:textAlignment w:val="auto"/>
        <w:rPr>
          <w:b/>
          <w:sz w:val="22"/>
          <w:szCs w:val="22"/>
          <w:lang w:eastAsia="zh-CN"/>
        </w:rPr>
      </w:pPr>
      <w:r>
        <w:rPr>
          <w:sz w:val="22"/>
          <w:szCs w:val="22"/>
          <w:lang w:val="en-US" w:eastAsia="zh-CN"/>
        </w:rPr>
        <w:t xml:space="preserve">We believe that adding this option could result into UE RF TX performance degradation due the following two </w:t>
      </w:r>
      <w:r w:rsidR="008A4443">
        <w:rPr>
          <w:sz w:val="22"/>
          <w:szCs w:val="22"/>
          <w:lang w:val="en-US" w:eastAsia="zh-CN"/>
        </w:rPr>
        <w:t>observations</w:t>
      </w:r>
      <w:r>
        <w:rPr>
          <w:sz w:val="22"/>
          <w:szCs w:val="22"/>
          <w:lang w:val="en-US" w:eastAsia="zh-CN"/>
        </w:rPr>
        <w:t xml:space="preserve">: </w:t>
      </w:r>
    </w:p>
    <w:p w14:paraId="6487C813" w14:textId="40280176" w:rsidR="003669FD" w:rsidRPr="003669FD" w:rsidRDefault="008A4443" w:rsidP="003669FD">
      <w:pPr>
        <w:pStyle w:val="ListParagraph"/>
        <w:numPr>
          <w:ilvl w:val="1"/>
          <w:numId w:val="10"/>
        </w:numPr>
        <w:overflowPunct/>
        <w:autoSpaceDE/>
        <w:autoSpaceDN/>
        <w:adjustRightInd/>
        <w:snapToGrid w:val="0"/>
        <w:spacing w:before="60" w:after="60"/>
        <w:contextualSpacing w:val="0"/>
        <w:textAlignment w:val="auto"/>
        <w:rPr>
          <w:b/>
          <w:sz w:val="22"/>
          <w:szCs w:val="22"/>
          <w:lang w:eastAsia="zh-CN"/>
        </w:rPr>
      </w:pPr>
      <w:r>
        <w:rPr>
          <w:b/>
          <w:bCs/>
          <w:i/>
          <w:iCs/>
          <w:sz w:val="22"/>
          <w:szCs w:val="22"/>
          <w:lang w:val="en-US" w:eastAsia="zh-CN"/>
        </w:rPr>
        <w:t>Observation</w:t>
      </w:r>
      <w:r w:rsidR="003669FD" w:rsidRPr="003669FD">
        <w:rPr>
          <w:b/>
          <w:bCs/>
          <w:i/>
          <w:iCs/>
          <w:sz w:val="22"/>
          <w:szCs w:val="22"/>
          <w:lang w:val="en-US" w:eastAsia="zh-CN"/>
        </w:rPr>
        <w:t xml:space="preserve"> # 1</w:t>
      </w:r>
      <w:r>
        <w:rPr>
          <w:b/>
          <w:bCs/>
          <w:i/>
          <w:iCs/>
          <w:sz w:val="22"/>
          <w:szCs w:val="22"/>
          <w:lang w:val="en-US" w:eastAsia="zh-CN"/>
        </w:rPr>
        <w:t>a</w:t>
      </w:r>
      <w:r w:rsidR="003669FD" w:rsidRPr="003669FD">
        <w:rPr>
          <w:b/>
          <w:bCs/>
          <w:i/>
          <w:iCs/>
          <w:sz w:val="22"/>
          <w:szCs w:val="22"/>
          <w:lang w:val="en-US" w:eastAsia="zh-CN"/>
        </w:rPr>
        <w:t>:</w:t>
      </w:r>
      <w:r w:rsidR="003669FD">
        <w:rPr>
          <w:sz w:val="22"/>
          <w:szCs w:val="22"/>
          <w:lang w:val="en-US" w:eastAsia="zh-CN"/>
        </w:rPr>
        <w:t xml:space="preserve"> If the frequency of the TX band being switched is close to the frequency of the band not being switched, a </w:t>
      </w:r>
      <w:r w:rsidR="003669FD" w:rsidRPr="003669FD">
        <w:rPr>
          <w:b/>
          <w:bCs/>
          <w:i/>
          <w:iCs/>
          <w:sz w:val="22"/>
          <w:szCs w:val="22"/>
          <w:lang w:val="en-US" w:eastAsia="zh-CN"/>
        </w:rPr>
        <w:t>frequency pulling</w:t>
      </w:r>
      <w:r w:rsidR="003669FD">
        <w:rPr>
          <w:sz w:val="22"/>
          <w:szCs w:val="22"/>
          <w:lang w:val="en-US" w:eastAsia="zh-CN"/>
        </w:rPr>
        <w:t xml:space="preserve"> of the unswitched band could generate frequency errors high enough to violate the +/-0.1ppm TX frequency error requirement during the switching period. Additionally, the TX EVM specification could be violated during the switching period if the phase error is high enough</w:t>
      </w:r>
      <w:r w:rsidR="00154BCD">
        <w:rPr>
          <w:sz w:val="22"/>
          <w:szCs w:val="22"/>
          <w:lang w:val="en-US" w:eastAsia="zh-CN"/>
        </w:rPr>
        <w:t xml:space="preserve"> due to the switching process</w:t>
      </w:r>
      <w:r w:rsidR="003669FD">
        <w:rPr>
          <w:sz w:val="22"/>
          <w:szCs w:val="22"/>
          <w:lang w:val="en-US" w:eastAsia="zh-CN"/>
        </w:rPr>
        <w:t>. An example of this case is shown below, where the UE TX is being switched from Band 1 to Band 2 while Band 3 is not being switched. If Band 1 is n39 (1880MHz-1920MHz) for example, Band 2 = n40 (2300MHz – 2400MHz), and Band 3 = n41 (2496MH</w:t>
      </w:r>
      <w:r w:rsidR="00606775">
        <w:rPr>
          <w:sz w:val="22"/>
          <w:szCs w:val="22"/>
          <w:lang w:val="en-US" w:eastAsia="zh-CN"/>
        </w:rPr>
        <w:t>z</w:t>
      </w:r>
      <w:r w:rsidR="003669FD">
        <w:rPr>
          <w:sz w:val="22"/>
          <w:szCs w:val="22"/>
          <w:lang w:val="en-US" w:eastAsia="zh-CN"/>
        </w:rPr>
        <w:t xml:space="preserve"> – 2690MHz), then n41 frequency could be pulled, resulting into an increase in n41 </w:t>
      </w:r>
      <w:r>
        <w:rPr>
          <w:sz w:val="22"/>
          <w:szCs w:val="22"/>
          <w:lang w:val="en-US" w:eastAsia="zh-CN"/>
        </w:rPr>
        <w:t xml:space="preserve">TX </w:t>
      </w:r>
      <w:r w:rsidR="003669FD">
        <w:rPr>
          <w:sz w:val="22"/>
          <w:szCs w:val="22"/>
          <w:lang w:val="en-US" w:eastAsia="zh-CN"/>
        </w:rPr>
        <w:t xml:space="preserve">frequency error and EVM. </w:t>
      </w:r>
    </w:p>
    <w:p w14:paraId="593C401D" w14:textId="77777777" w:rsidR="003669FD" w:rsidRDefault="003669FD" w:rsidP="003669FD">
      <w:pPr>
        <w:snapToGrid w:val="0"/>
        <w:spacing w:before="60" w:after="60"/>
        <w:jc w:val="center"/>
        <w:rPr>
          <w:b/>
          <w:sz w:val="22"/>
          <w:szCs w:val="22"/>
          <w:lang w:eastAsia="zh-CN"/>
        </w:rPr>
      </w:pPr>
    </w:p>
    <w:p w14:paraId="44CD5682" w14:textId="083E4DD3" w:rsidR="003669FD" w:rsidRDefault="003669FD" w:rsidP="003669FD">
      <w:pPr>
        <w:snapToGrid w:val="0"/>
        <w:spacing w:before="60" w:after="60"/>
        <w:jc w:val="center"/>
        <w:rPr>
          <w:b/>
          <w:sz w:val="22"/>
          <w:szCs w:val="22"/>
          <w:lang w:eastAsia="zh-CN"/>
        </w:rPr>
      </w:pPr>
      <w:r w:rsidRPr="003669FD">
        <w:rPr>
          <w:rFonts w:eastAsia="SimSun"/>
          <w:noProof/>
          <w:lang w:val="en-US" w:eastAsia="zh-CN"/>
        </w:rPr>
        <w:drawing>
          <wp:inline distT="0" distB="0" distL="0" distR="0" wp14:anchorId="4C629A8E" wp14:editId="7DD01751">
            <wp:extent cx="2600550" cy="1623114"/>
            <wp:effectExtent l="0" t="0" r="3175" b="254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644319" cy="1650432"/>
                    </a:xfrm>
                    <a:prstGeom prst="rect">
                      <a:avLst/>
                    </a:prstGeom>
                  </pic:spPr>
                </pic:pic>
              </a:graphicData>
            </a:graphic>
          </wp:inline>
        </w:drawing>
      </w:r>
    </w:p>
    <w:p w14:paraId="4329922D" w14:textId="4D03FE32" w:rsidR="003669FD" w:rsidRDefault="003669FD" w:rsidP="003669FD">
      <w:pPr>
        <w:snapToGrid w:val="0"/>
        <w:spacing w:before="60" w:after="60"/>
        <w:jc w:val="center"/>
        <w:rPr>
          <w:b/>
          <w:sz w:val="22"/>
          <w:szCs w:val="22"/>
          <w:lang w:eastAsia="zh-CN"/>
        </w:rPr>
      </w:pPr>
      <w:r>
        <w:rPr>
          <w:b/>
          <w:sz w:val="22"/>
          <w:szCs w:val="22"/>
          <w:lang w:eastAsia="zh-CN"/>
        </w:rPr>
        <w:t>Figure 1: Example of switching case that could be problematic: UE UL TX is switched from Band 1 t</w:t>
      </w:r>
      <w:r w:rsidR="008A4443">
        <w:rPr>
          <w:b/>
          <w:sz w:val="22"/>
          <w:szCs w:val="22"/>
          <w:lang w:eastAsia="zh-CN"/>
        </w:rPr>
        <w:t>o</w:t>
      </w:r>
      <w:r>
        <w:rPr>
          <w:b/>
          <w:sz w:val="22"/>
          <w:szCs w:val="22"/>
          <w:lang w:eastAsia="zh-CN"/>
        </w:rPr>
        <w:t xml:space="preserve"> Band 2, while Band 3 stays the same.</w:t>
      </w:r>
    </w:p>
    <w:p w14:paraId="363265F6" w14:textId="77777777" w:rsidR="003669FD" w:rsidRPr="003669FD" w:rsidRDefault="003669FD" w:rsidP="003669FD">
      <w:pPr>
        <w:snapToGrid w:val="0"/>
        <w:spacing w:before="60" w:after="60"/>
        <w:rPr>
          <w:b/>
          <w:sz w:val="22"/>
          <w:szCs w:val="22"/>
          <w:lang w:eastAsia="zh-CN"/>
        </w:rPr>
      </w:pPr>
    </w:p>
    <w:p w14:paraId="7D5D0FC0" w14:textId="410B76E5" w:rsidR="003669FD" w:rsidRPr="003669FD" w:rsidRDefault="003669FD" w:rsidP="003669FD">
      <w:pPr>
        <w:pStyle w:val="ListParagraph"/>
        <w:numPr>
          <w:ilvl w:val="1"/>
          <w:numId w:val="10"/>
        </w:numPr>
        <w:overflowPunct/>
        <w:autoSpaceDE/>
        <w:autoSpaceDN/>
        <w:adjustRightInd/>
        <w:snapToGrid w:val="0"/>
        <w:spacing w:before="60" w:after="60"/>
        <w:contextualSpacing w:val="0"/>
        <w:textAlignment w:val="auto"/>
        <w:rPr>
          <w:sz w:val="22"/>
          <w:szCs w:val="22"/>
          <w:lang w:eastAsia="zh-CN"/>
        </w:rPr>
      </w:pPr>
      <w:r>
        <w:rPr>
          <w:sz w:val="22"/>
          <w:szCs w:val="22"/>
          <w:lang w:val="en-US" w:eastAsia="zh-CN"/>
        </w:rPr>
        <w:t xml:space="preserve"> </w:t>
      </w:r>
      <w:r w:rsidR="008A4443">
        <w:rPr>
          <w:b/>
          <w:bCs/>
          <w:i/>
          <w:iCs/>
          <w:sz w:val="22"/>
          <w:szCs w:val="22"/>
          <w:lang w:val="en-US" w:eastAsia="zh-CN"/>
        </w:rPr>
        <w:t>Observation</w:t>
      </w:r>
      <w:r w:rsidRPr="003669FD">
        <w:rPr>
          <w:b/>
          <w:bCs/>
          <w:i/>
          <w:iCs/>
          <w:sz w:val="22"/>
          <w:szCs w:val="22"/>
          <w:lang w:val="en-US" w:eastAsia="zh-CN"/>
        </w:rPr>
        <w:t xml:space="preserve"> # </w:t>
      </w:r>
      <w:r w:rsidR="008A4443">
        <w:rPr>
          <w:b/>
          <w:bCs/>
          <w:i/>
          <w:iCs/>
          <w:sz w:val="22"/>
          <w:szCs w:val="22"/>
          <w:lang w:val="en-US" w:eastAsia="zh-CN"/>
        </w:rPr>
        <w:t>1b</w:t>
      </w:r>
      <w:r w:rsidRPr="003669FD">
        <w:rPr>
          <w:b/>
          <w:bCs/>
          <w:i/>
          <w:iCs/>
          <w:sz w:val="22"/>
          <w:szCs w:val="22"/>
          <w:lang w:val="en-US" w:eastAsia="zh-CN"/>
        </w:rPr>
        <w:t>:</w:t>
      </w:r>
      <w:r w:rsidRPr="003669FD">
        <w:rPr>
          <w:sz w:val="22"/>
          <w:szCs w:val="22"/>
          <w:lang w:val="en-US" w:eastAsia="zh-CN"/>
        </w:rPr>
        <w:t xml:space="preserve"> </w:t>
      </w:r>
      <w:r>
        <w:rPr>
          <w:sz w:val="22"/>
          <w:szCs w:val="22"/>
          <w:lang w:val="en-US" w:eastAsia="zh-CN"/>
        </w:rPr>
        <w:t xml:space="preserve">Even if the Band 2 frequency and Band 3 frequency are far apart, if the PLLs generating these frequencies share the same power supply </w:t>
      </w:r>
      <w:r w:rsidRPr="003669FD">
        <w:rPr>
          <w:sz w:val="22"/>
          <w:szCs w:val="22"/>
          <w:lang w:val="en-US" w:eastAsia="zh-CN"/>
        </w:rPr>
        <w:t xml:space="preserve">which is not well regulated, </w:t>
      </w:r>
      <w:r w:rsidRPr="003669FD">
        <w:rPr>
          <w:i/>
          <w:iCs/>
          <w:sz w:val="22"/>
          <w:szCs w:val="22"/>
          <w:lang w:val="en-US" w:eastAsia="zh-CN"/>
        </w:rPr>
        <w:t>frequency pushing</w:t>
      </w:r>
      <w:r w:rsidRPr="003669FD">
        <w:rPr>
          <w:sz w:val="22"/>
          <w:szCs w:val="22"/>
          <w:lang w:val="en-US" w:eastAsia="zh-CN"/>
        </w:rPr>
        <w:t xml:space="preserve"> could be another issue that could also introduce errors on Band 3 TX frequency and EVM degradation.</w:t>
      </w:r>
    </w:p>
    <w:p w14:paraId="3287B1CD" w14:textId="46D26E4E" w:rsidR="003669FD" w:rsidRDefault="003669FD" w:rsidP="003669FD">
      <w:pPr>
        <w:snapToGrid w:val="0"/>
        <w:spacing w:before="60" w:after="60"/>
        <w:rPr>
          <w:sz w:val="22"/>
          <w:szCs w:val="22"/>
          <w:lang w:eastAsia="zh-CN"/>
        </w:rPr>
      </w:pPr>
      <w:r w:rsidRPr="003669FD">
        <w:rPr>
          <w:sz w:val="22"/>
          <w:szCs w:val="22"/>
          <w:lang w:eastAsia="zh-CN"/>
        </w:rPr>
        <w:t xml:space="preserve"> D</w:t>
      </w:r>
      <w:r>
        <w:rPr>
          <w:sz w:val="22"/>
          <w:szCs w:val="22"/>
          <w:lang w:eastAsia="zh-CN"/>
        </w:rPr>
        <w:t xml:space="preserve">ue to the two potential issues mentioned above, we believe that implementing </w:t>
      </w:r>
      <w:r w:rsidR="00C4330D">
        <w:rPr>
          <w:sz w:val="22"/>
          <w:szCs w:val="22"/>
          <w:lang w:eastAsia="zh-CN"/>
        </w:rPr>
        <w:t>O</w:t>
      </w:r>
      <w:r>
        <w:rPr>
          <w:sz w:val="22"/>
          <w:szCs w:val="22"/>
          <w:lang w:eastAsia="zh-CN"/>
        </w:rPr>
        <w:t>ption</w:t>
      </w:r>
      <w:r w:rsidR="00C4330D">
        <w:rPr>
          <w:sz w:val="22"/>
          <w:szCs w:val="22"/>
          <w:lang w:eastAsia="zh-CN"/>
        </w:rPr>
        <w:t xml:space="preserve"> 1</w:t>
      </w:r>
      <w:r>
        <w:rPr>
          <w:sz w:val="22"/>
          <w:szCs w:val="22"/>
          <w:lang w:eastAsia="zh-CN"/>
        </w:rPr>
        <w:t xml:space="preserve"> </w:t>
      </w:r>
      <w:r w:rsidR="00C4330D">
        <w:rPr>
          <w:sz w:val="22"/>
          <w:szCs w:val="22"/>
          <w:lang w:eastAsia="zh-CN"/>
        </w:rPr>
        <w:t xml:space="preserve">feature </w:t>
      </w:r>
      <w:r>
        <w:rPr>
          <w:sz w:val="22"/>
          <w:szCs w:val="22"/>
          <w:lang w:eastAsia="zh-CN"/>
        </w:rPr>
        <w:t>could result into UE TX RF performance degradation.</w:t>
      </w:r>
    </w:p>
    <w:p w14:paraId="64355122" w14:textId="77777777" w:rsidR="008A4443" w:rsidRDefault="008A4443" w:rsidP="003669FD">
      <w:pPr>
        <w:snapToGrid w:val="0"/>
        <w:spacing w:before="60" w:after="60"/>
        <w:rPr>
          <w:b/>
          <w:bCs/>
          <w:i/>
          <w:iCs/>
          <w:sz w:val="22"/>
          <w:szCs w:val="22"/>
          <w:lang w:eastAsia="zh-CN"/>
        </w:rPr>
      </w:pPr>
    </w:p>
    <w:p w14:paraId="0293F3E4" w14:textId="66D7D2A1" w:rsidR="003669FD" w:rsidRPr="00D331F2" w:rsidRDefault="003669FD" w:rsidP="00D331F2">
      <w:pPr>
        <w:snapToGrid w:val="0"/>
        <w:spacing w:before="60" w:after="60"/>
        <w:rPr>
          <w:b/>
          <w:bCs/>
          <w:i/>
          <w:iCs/>
          <w:sz w:val="22"/>
          <w:szCs w:val="22"/>
          <w:lang w:eastAsia="zh-CN"/>
        </w:rPr>
      </w:pPr>
      <w:r w:rsidRPr="008A4443">
        <w:rPr>
          <w:b/>
          <w:bCs/>
          <w:i/>
          <w:iCs/>
          <w:sz w:val="22"/>
          <w:szCs w:val="22"/>
          <w:lang w:eastAsia="zh-CN"/>
        </w:rPr>
        <w:t>Proposal # 1:</w:t>
      </w:r>
      <w:r w:rsidR="008A4443" w:rsidRPr="008A4443">
        <w:rPr>
          <w:b/>
          <w:bCs/>
          <w:i/>
          <w:iCs/>
          <w:sz w:val="22"/>
          <w:szCs w:val="22"/>
          <w:lang w:eastAsia="zh-CN"/>
        </w:rPr>
        <w:t xml:space="preserve"> </w:t>
      </w:r>
      <w:r w:rsidR="00D331F2">
        <w:rPr>
          <w:b/>
          <w:bCs/>
          <w:i/>
          <w:iCs/>
          <w:sz w:val="22"/>
          <w:szCs w:val="22"/>
          <w:lang w:eastAsia="zh-CN"/>
        </w:rPr>
        <w:t>Because Option 1 could result into UE RF performance degradation, we prefer that studies from other companies about implementing this option be considered before final decision is made.</w:t>
      </w:r>
    </w:p>
    <w:p w14:paraId="61CEE99B" w14:textId="37ACACD1" w:rsidR="008E7986" w:rsidRDefault="008E7986" w:rsidP="008E7986">
      <w:pPr>
        <w:pStyle w:val="Heading2"/>
      </w:pPr>
      <w:r>
        <w:t>2.2</w:t>
      </w:r>
      <w:r>
        <w:tab/>
      </w:r>
      <w:r w:rsidR="008A4443">
        <w:t>Granularity on the Optional UE Capability</w:t>
      </w:r>
    </w:p>
    <w:p w14:paraId="07E7444F" w14:textId="40821959" w:rsidR="008A4443" w:rsidRPr="008A4443" w:rsidRDefault="008A4443" w:rsidP="008A4443">
      <w:pPr>
        <w:pStyle w:val="ListParagraph"/>
        <w:numPr>
          <w:ilvl w:val="0"/>
          <w:numId w:val="10"/>
        </w:numPr>
        <w:overflowPunct/>
        <w:autoSpaceDE/>
        <w:autoSpaceDN/>
        <w:adjustRightInd/>
        <w:snapToGrid w:val="0"/>
        <w:spacing w:before="60" w:after="60"/>
        <w:ind w:left="284" w:hanging="284"/>
        <w:contextualSpacing w:val="0"/>
        <w:textAlignment w:val="auto"/>
        <w:rPr>
          <w:bCs/>
          <w:sz w:val="22"/>
          <w:szCs w:val="22"/>
          <w:lang w:eastAsia="zh-CN"/>
        </w:rPr>
      </w:pPr>
      <w:r w:rsidRPr="008A4443">
        <w:rPr>
          <w:bCs/>
          <w:sz w:val="22"/>
          <w:szCs w:val="22"/>
          <w:lang w:eastAsia="zh-CN"/>
        </w:rPr>
        <w:t xml:space="preserve">For the Option 1 described above, RAN4 # </w:t>
      </w:r>
      <w:r>
        <w:rPr>
          <w:bCs/>
          <w:sz w:val="22"/>
          <w:szCs w:val="22"/>
          <w:lang w:eastAsia="zh-CN"/>
        </w:rPr>
        <w:t>10</w:t>
      </w:r>
      <w:r w:rsidRPr="008A4443">
        <w:rPr>
          <w:bCs/>
          <w:sz w:val="22"/>
          <w:szCs w:val="22"/>
          <w:lang w:eastAsia="zh-CN"/>
        </w:rPr>
        <w:t>5 Meeting also agreed to further discussed the following two associated options:</w:t>
      </w:r>
    </w:p>
    <w:p w14:paraId="0CB859C5" w14:textId="5B6EE729" w:rsidR="008A4443" w:rsidRDefault="008A4443" w:rsidP="008A4443">
      <w:pPr>
        <w:pStyle w:val="ListParagraph"/>
        <w:numPr>
          <w:ilvl w:val="1"/>
          <w:numId w:val="10"/>
        </w:numPr>
        <w:overflowPunct/>
        <w:autoSpaceDE/>
        <w:autoSpaceDN/>
        <w:adjustRightInd/>
        <w:snapToGrid w:val="0"/>
        <w:spacing w:before="60" w:after="60"/>
        <w:contextualSpacing w:val="0"/>
        <w:textAlignment w:val="auto"/>
        <w:rPr>
          <w:sz w:val="22"/>
          <w:szCs w:val="22"/>
          <w:lang w:eastAsia="zh-CN"/>
        </w:rPr>
      </w:pPr>
      <w:r>
        <w:rPr>
          <w:sz w:val="22"/>
          <w:szCs w:val="22"/>
          <w:lang w:eastAsia="zh-CN"/>
        </w:rPr>
        <w:t>Option 1a: per band pair per BC</w:t>
      </w:r>
    </w:p>
    <w:p w14:paraId="4D6D94D5" w14:textId="1C0D3AF1" w:rsidR="008A4443" w:rsidRPr="008A4443" w:rsidRDefault="008A4443" w:rsidP="00E72324">
      <w:pPr>
        <w:pStyle w:val="ListParagraph"/>
        <w:numPr>
          <w:ilvl w:val="1"/>
          <w:numId w:val="10"/>
        </w:numPr>
        <w:overflowPunct/>
        <w:autoSpaceDE/>
        <w:autoSpaceDN/>
        <w:adjustRightInd/>
        <w:snapToGrid w:val="0"/>
        <w:spacing w:before="60" w:after="60"/>
        <w:contextualSpacing w:val="0"/>
        <w:textAlignment w:val="auto"/>
        <w:rPr>
          <w:sz w:val="22"/>
          <w:szCs w:val="22"/>
          <w:lang w:eastAsia="zh-CN"/>
        </w:rPr>
      </w:pPr>
      <w:r>
        <w:rPr>
          <w:sz w:val="22"/>
          <w:szCs w:val="22"/>
          <w:lang w:eastAsia="zh-CN"/>
        </w:rPr>
        <w:t>Option 1b: per band per band pair per BC</w:t>
      </w:r>
    </w:p>
    <w:p w14:paraId="4A4CE02D" w14:textId="56530DC8" w:rsidR="008A4443" w:rsidRPr="008A4443" w:rsidRDefault="008A4443" w:rsidP="008A4443">
      <w:pPr>
        <w:pStyle w:val="ListParagraph"/>
        <w:numPr>
          <w:ilvl w:val="0"/>
          <w:numId w:val="10"/>
        </w:numPr>
        <w:overflowPunct/>
        <w:autoSpaceDE/>
        <w:autoSpaceDN/>
        <w:adjustRightInd/>
        <w:snapToGrid w:val="0"/>
        <w:spacing w:before="60" w:after="60"/>
        <w:ind w:left="284" w:hanging="284"/>
        <w:contextualSpacing w:val="0"/>
        <w:textAlignment w:val="auto"/>
        <w:rPr>
          <w:bCs/>
          <w:sz w:val="22"/>
          <w:szCs w:val="22"/>
          <w:lang w:eastAsia="zh-CN"/>
        </w:rPr>
      </w:pPr>
      <w:r w:rsidRPr="008A4443">
        <w:rPr>
          <w:b/>
          <w:i/>
          <w:iCs/>
          <w:sz w:val="22"/>
          <w:szCs w:val="22"/>
          <w:lang w:eastAsia="zh-CN"/>
        </w:rPr>
        <w:t xml:space="preserve">Observation # </w:t>
      </w:r>
      <w:r>
        <w:rPr>
          <w:b/>
          <w:i/>
          <w:iCs/>
          <w:sz w:val="22"/>
          <w:szCs w:val="22"/>
          <w:lang w:eastAsia="zh-CN"/>
        </w:rPr>
        <w:t>2</w:t>
      </w:r>
      <w:r w:rsidRPr="008A4443">
        <w:rPr>
          <w:b/>
          <w:i/>
          <w:iCs/>
          <w:sz w:val="22"/>
          <w:szCs w:val="22"/>
          <w:lang w:eastAsia="zh-CN"/>
        </w:rPr>
        <w:t>:</w:t>
      </w:r>
      <w:r>
        <w:rPr>
          <w:bCs/>
          <w:sz w:val="22"/>
          <w:szCs w:val="22"/>
          <w:lang w:eastAsia="zh-CN"/>
        </w:rPr>
        <w:t xml:space="preserve"> As explained above, if the UE is triggered to switch from (Band 1 + Band3) to (Band2 + Band3) with Band 1 being switched to Band 2 while Band 3 is kept unchained</w:t>
      </w:r>
      <w:r w:rsidR="0015272B">
        <w:rPr>
          <w:bCs/>
          <w:sz w:val="22"/>
          <w:szCs w:val="22"/>
          <w:lang w:eastAsia="zh-CN"/>
        </w:rPr>
        <w:t xml:space="preserve">, </w:t>
      </w:r>
      <w:r>
        <w:rPr>
          <w:bCs/>
          <w:sz w:val="22"/>
          <w:szCs w:val="22"/>
          <w:lang w:eastAsia="zh-CN"/>
        </w:rPr>
        <w:t>there could be a potential TX performance degradation, depending on the closeness of Band 2 and Band 3 frequencies</w:t>
      </w:r>
      <w:r w:rsidR="00154BCD">
        <w:rPr>
          <w:bCs/>
          <w:sz w:val="22"/>
          <w:szCs w:val="22"/>
          <w:lang w:eastAsia="zh-CN"/>
        </w:rPr>
        <w:t xml:space="preserve"> </w:t>
      </w:r>
      <w:r w:rsidR="00D54ABE">
        <w:rPr>
          <w:bCs/>
          <w:sz w:val="22"/>
          <w:szCs w:val="22"/>
          <w:lang w:eastAsia="zh-CN"/>
        </w:rPr>
        <w:t>and</w:t>
      </w:r>
      <w:r w:rsidR="00154BCD">
        <w:rPr>
          <w:bCs/>
          <w:sz w:val="22"/>
          <w:szCs w:val="22"/>
          <w:lang w:eastAsia="zh-CN"/>
        </w:rPr>
        <w:t xml:space="preserve"> </w:t>
      </w:r>
      <w:r w:rsidR="00D54ABE">
        <w:rPr>
          <w:bCs/>
          <w:sz w:val="22"/>
          <w:szCs w:val="22"/>
          <w:lang w:eastAsia="zh-CN"/>
        </w:rPr>
        <w:t xml:space="preserve">depending on </w:t>
      </w:r>
      <w:r w:rsidR="00154BCD">
        <w:rPr>
          <w:bCs/>
          <w:sz w:val="22"/>
          <w:szCs w:val="22"/>
          <w:lang w:eastAsia="zh-CN"/>
        </w:rPr>
        <w:t>the hardware implementation</w:t>
      </w:r>
      <w:r>
        <w:rPr>
          <w:bCs/>
          <w:sz w:val="22"/>
          <w:szCs w:val="22"/>
          <w:lang w:eastAsia="zh-CN"/>
        </w:rPr>
        <w:t xml:space="preserve">. Therefore, there will be certain band combinations that could work better than others. </w:t>
      </w:r>
      <w:r w:rsidR="00154BCD">
        <w:rPr>
          <w:bCs/>
          <w:sz w:val="22"/>
          <w:szCs w:val="22"/>
          <w:lang w:eastAsia="zh-CN"/>
        </w:rPr>
        <w:t>W</w:t>
      </w:r>
      <w:r>
        <w:rPr>
          <w:bCs/>
          <w:sz w:val="22"/>
          <w:szCs w:val="22"/>
          <w:lang w:eastAsia="zh-CN"/>
        </w:rPr>
        <w:t>e would</w:t>
      </w:r>
      <w:r w:rsidR="00154BCD">
        <w:rPr>
          <w:bCs/>
          <w:sz w:val="22"/>
          <w:szCs w:val="22"/>
          <w:lang w:eastAsia="zh-CN"/>
        </w:rPr>
        <w:t xml:space="preserve"> then </w:t>
      </w:r>
      <w:r>
        <w:rPr>
          <w:bCs/>
          <w:sz w:val="22"/>
          <w:szCs w:val="22"/>
          <w:lang w:eastAsia="zh-CN"/>
        </w:rPr>
        <w:t>propose that this optional UE option be implemented per band per band pair per BC.</w:t>
      </w:r>
    </w:p>
    <w:p w14:paraId="29A2F94F" w14:textId="77777777" w:rsidR="008A4443" w:rsidRDefault="008A4443" w:rsidP="008A4443">
      <w:pPr>
        <w:snapToGrid w:val="0"/>
        <w:spacing w:before="60" w:after="60"/>
        <w:rPr>
          <w:b/>
          <w:bCs/>
          <w:i/>
          <w:iCs/>
          <w:sz w:val="22"/>
          <w:szCs w:val="22"/>
          <w:lang w:eastAsia="zh-CN"/>
        </w:rPr>
      </w:pPr>
    </w:p>
    <w:p w14:paraId="62E2E073" w14:textId="30F085B6" w:rsidR="008E7986" w:rsidRPr="00D331F2" w:rsidRDefault="008A4443" w:rsidP="00D331F2">
      <w:pPr>
        <w:snapToGrid w:val="0"/>
        <w:spacing w:before="60" w:after="60"/>
        <w:rPr>
          <w:b/>
          <w:bCs/>
          <w:i/>
          <w:iCs/>
          <w:sz w:val="22"/>
          <w:szCs w:val="22"/>
          <w:lang w:eastAsia="zh-CN"/>
        </w:rPr>
      </w:pPr>
      <w:r w:rsidRPr="008A4443">
        <w:rPr>
          <w:b/>
          <w:bCs/>
          <w:i/>
          <w:iCs/>
          <w:sz w:val="22"/>
          <w:szCs w:val="22"/>
          <w:lang w:eastAsia="zh-CN"/>
        </w:rPr>
        <w:t xml:space="preserve">Proposal # </w:t>
      </w:r>
      <w:r>
        <w:rPr>
          <w:b/>
          <w:bCs/>
          <w:i/>
          <w:iCs/>
          <w:sz w:val="22"/>
          <w:szCs w:val="22"/>
          <w:lang w:eastAsia="zh-CN"/>
        </w:rPr>
        <w:t>2</w:t>
      </w:r>
      <w:r w:rsidRPr="008A4443">
        <w:rPr>
          <w:b/>
          <w:bCs/>
          <w:i/>
          <w:iCs/>
          <w:sz w:val="22"/>
          <w:szCs w:val="22"/>
          <w:lang w:eastAsia="zh-CN"/>
        </w:rPr>
        <w:t xml:space="preserve">: </w:t>
      </w:r>
      <w:r>
        <w:rPr>
          <w:b/>
          <w:bCs/>
          <w:i/>
          <w:iCs/>
          <w:sz w:val="22"/>
          <w:szCs w:val="22"/>
          <w:lang w:eastAsia="zh-CN"/>
        </w:rPr>
        <w:t xml:space="preserve">For the optional UE capability, </w:t>
      </w:r>
      <w:r w:rsidR="00D331F2">
        <w:rPr>
          <w:b/>
          <w:bCs/>
          <w:i/>
          <w:iCs/>
          <w:sz w:val="22"/>
          <w:szCs w:val="22"/>
          <w:lang w:eastAsia="zh-CN"/>
        </w:rPr>
        <w:t xml:space="preserve">we propose that </w:t>
      </w:r>
      <w:r>
        <w:rPr>
          <w:b/>
          <w:bCs/>
          <w:i/>
          <w:iCs/>
          <w:sz w:val="22"/>
          <w:szCs w:val="22"/>
          <w:lang w:eastAsia="zh-CN"/>
        </w:rPr>
        <w:t>Option 1 be implemented per band per band pair per BC</w:t>
      </w:r>
      <w:r w:rsidR="00D331F2">
        <w:rPr>
          <w:b/>
          <w:bCs/>
          <w:i/>
          <w:iCs/>
          <w:sz w:val="22"/>
          <w:szCs w:val="22"/>
          <w:lang w:eastAsia="zh-CN"/>
        </w:rPr>
        <w:t xml:space="preserve"> because of Observations 1a, 1b, and 2.</w:t>
      </w:r>
    </w:p>
    <w:p w14:paraId="34C99636" w14:textId="77777777" w:rsidR="008E7986" w:rsidRDefault="008E7986" w:rsidP="008E7986">
      <w:pPr>
        <w:pStyle w:val="Heading1"/>
      </w:pPr>
      <w:r>
        <w:t>3</w:t>
      </w:r>
      <w:r>
        <w:tab/>
        <w:t>Conclusions</w:t>
      </w:r>
    </w:p>
    <w:p w14:paraId="67E0C2F8" w14:textId="482B8E60" w:rsidR="000A365D" w:rsidRPr="0082696E" w:rsidRDefault="00F62AEB">
      <w:pPr>
        <w:pStyle w:val="TOC1"/>
        <w:rPr>
          <w:rFonts w:eastAsiaTheme="minorEastAsia"/>
          <w:bCs w:val="0"/>
          <w:noProof/>
          <w:sz w:val="22"/>
          <w:szCs w:val="22"/>
          <w:lang w:val="de-DE"/>
        </w:rPr>
      </w:pPr>
      <w:r w:rsidRPr="0082696E">
        <w:rPr>
          <w:bCs w:val="0"/>
          <w:sz w:val="22"/>
          <w:szCs w:val="22"/>
        </w:rPr>
        <w:fldChar w:fldCharType="begin"/>
      </w:r>
      <w:r w:rsidRPr="0082696E">
        <w:rPr>
          <w:bCs w:val="0"/>
          <w:sz w:val="22"/>
          <w:szCs w:val="22"/>
        </w:rPr>
        <w:instrText xml:space="preserve"> TOC \n \t "Observation,1" </w:instrText>
      </w:r>
      <w:r w:rsidRPr="0082696E">
        <w:rPr>
          <w:bCs w:val="0"/>
          <w:sz w:val="22"/>
          <w:szCs w:val="22"/>
        </w:rPr>
        <w:fldChar w:fldCharType="separate"/>
      </w:r>
      <w:r w:rsidR="000A365D" w:rsidRPr="0082696E">
        <w:rPr>
          <w:bCs w:val="0"/>
          <w:noProof/>
          <w:sz w:val="22"/>
          <w:szCs w:val="22"/>
        </w:rPr>
        <w:t>Observation 1a:</w:t>
      </w:r>
      <w:r w:rsidR="008A4443" w:rsidRPr="0082696E">
        <w:rPr>
          <w:bCs w:val="0"/>
          <w:noProof/>
          <w:sz w:val="22"/>
          <w:szCs w:val="22"/>
        </w:rPr>
        <w:t xml:space="preserve"> </w:t>
      </w:r>
      <w:r w:rsidR="0082696E" w:rsidRPr="0082696E">
        <w:rPr>
          <w:bCs w:val="0"/>
          <w:sz w:val="22"/>
          <w:szCs w:val="22"/>
          <w:lang w:val="en-US" w:eastAsia="zh-CN"/>
        </w:rPr>
        <w:t>If the frequency of the TX band being switched is close to the frequency of the band not being switched, a frequency pulling of the unswitched band could degrade the TX performance of the band not being switched (frequency error and EVM degradation)</w:t>
      </w:r>
      <w:r w:rsidR="000A365D" w:rsidRPr="0082696E">
        <w:rPr>
          <w:bCs w:val="0"/>
          <w:noProof/>
          <w:sz w:val="22"/>
          <w:szCs w:val="22"/>
        </w:rPr>
        <w:t>.</w:t>
      </w:r>
    </w:p>
    <w:p w14:paraId="34A4910A" w14:textId="1A6EC2F5" w:rsidR="000A365D" w:rsidRPr="0082696E" w:rsidRDefault="000A365D">
      <w:pPr>
        <w:pStyle w:val="TOC1"/>
        <w:rPr>
          <w:rFonts w:eastAsiaTheme="minorEastAsia"/>
          <w:bCs w:val="0"/>
          <w:noProof/>
          <w:sz w:val="22"/>
          <w:szCs w:val="22"/>
          <w:lang w:val="de-DE"/>
        </w:rPr>
      </w:pPr>
      <w:r w:rsidRPr="0082696E">
        <w:rPr>
          <w:bCs w:val="0"/>
          <w:noProof/>
          <w:sz w:val="22"/>
          <w:szCs w:val="22"/>
        </w:rPr>
        <w:t xml:space="preserve">Observation </w:t>
      </w:r>
      <w:r w:rsidR="0082696E" w:rsidRPr="0082696E">
        <w:rPr>
          <w:bCs w:val="0"/>
          <w:noProof/>
          <w:sz w:val="22"/>
          <w:szCs w:val="22"/>
        </w:rPr>
        <w:t>1b</w:t>
      </w:r>
      <w:r w:rsidRPr="0082696E">
        <w:rPr>
          <w:bCs w:val="0"/>
          <w:noProof/>
          <w:sz w:val="22"/>
          <w:szCs w:val="22"/>
        </w:rPr>
        <w:t>:</w:t>
      </w:r>
      <w:r w:rsidR="008A4443" w:rsidRPr="0082696E">
        <w:rPr>
          <w:bCs w:val="0"/>
          <w:noProof/>
          <w:sz w:val="22"/>
          <w:szCs w:val="22"/>
        </w:rPr>
        <w:t xml:space="preserve"> </w:t>
      </w:r>
      <w:r w:rsidR="0082696E" w:rsidRPr="0082696E">
        <w:rPr>
          <w:bCs w:val="0"/>
          <w:noProof/>
          <w:sz w:val="22"/>
          <w:szCs w:val="22"/>
        </w:rPr>
        <w:t>Frequency pushing could also affect the performance of the transmitter of the unswitched band.</w:t>
      </w:r>
    </w:p>
    <w:p w14:paraId="569112CF" w14:textId="79FB06F8" w:rsidR="000A365D" w:rsidRPr="002164FA" w:rsidRDefault="00F62AEB" w:rsidP="002164FA">
      <w:pPr>
        <w:snapToGrid w:val="0"/>
        <w:spacing w:before="60" w:after="60"/>
        <w:rPr>
          <w:b/>
          <w:bCs/>
          <w:i/>
          <w:iCs/>
          <w:sz w:val="22"/>
          <w:szCs w:val="22"/>
          <w:lang w:eastAsia="zh-CN"/>
        </w:rPr>
      </w:pPr>
      <w:r w:rsidRPr="0082696E">
        <w:rPr>
          <w:b/>
          <w:sz w:val="22"/>
          <w:szCs w:val="22"/>
        </w:rPr>
        <w:fldChar w:fldCharType="end"/>
      </w:r>
      <w:r w:rsidR="0062595A" w:rsidRPr="0082696E">
        <w:rPr>
          <w:b/>
          <w:sz w:val="22"/>
          <w:szCs w:val="22"/>
        </w:rPr>
        <w:fldChar w:fldCharType="begin"/>
      </w:r>
      <w:r w:rsidR="0062595A" w:rsidRPr="0082696E">
        <w:rPr>
          <w:b/>
          <w:sz w:val="22"/>
          <w:szCs w:val="22"/>
        </w:rPr>
        <w:instrText xml:space="preserve"> TOC \n \t "Proposal,1" </w:instrText>
      </w:r>
      <w:r w:rsidR="0062595A" w:rsidRPr="0082696E">
        <w:rPr>
          <w:b/>
          <w:sz w:val="22"/>
          <w:szCs w:val="22"/>
        </w:rPr>
        <w:fldChar w:fldCharType="separate"/>
      </w:r>
      <w:r w:rsidR="000A365D" w:rsidRPr="0082696E">
        <w:rPr>
          <w:b/>
          <w:noProof/>
          <w:sz w:val="22"/>
          <w:szCs w:val="22"/>
        </w:rPr>
        <w:t xml:space="preserve">Proposal </w:t>
      </w:r>
      <w:r w:rsidR="00FB34D2" w:rsidRPr="0082696E">
        <w:rPr>
          <w:b/>
          <w:noProof/>
          <w:sz w:val="22"/>
          <w:szCs w:val="22"/>
        </w:rPr>
        <w:t>1</w:t>
      </w:r>
      <w:r w:rsidR="000A365D" w:rsidRPr="0082696E">
        <w:rPr>
          <w:b/>
          <w:noProof/>
          <w:sz w:val="22"/>
          <w:szCs w:val="22"/>
        </w:rPr>
        <w:t>:</w:t>
      </w:r>
      <w:r w:rsidR="000A365D" w:rsidRPr="0082696E">
        <w:rPr>
          <w:rFonts w:eastAsiaTheme="minorEastAsia"/>
          <w:b/>
          <w:noProof/>
          <w:sz w:val="22"/>
          <w:szCs w:val="22"/>
          <w:lang w:val="de-DE"/>
        </w:rPr>
        <w:tab/>
      </w:r>
      <w:r w:rsidR="002164FA">
        <w:rPr>
          <w:rFonts w:eastAsiaTheme="minorEastAsia"/>
          <w:b/>
          <w:noProof/>
          <w:sz w:val="22"/>
          <w:szCs w:val="22"/>
          <w:lang w:val="de-DE"/>
        </w:rPr>
        <w:t>On</w:t>
      </w:r>
      <w:r w:rsidR="0082696E" w:rsidRPr="0082696E">
        <w:rPr>
          <w:b/>
          <w:sz w:val="22"/>
          <w:szCs w:val="22"/>
          <w:lang w:eastAsia="zh-CN"/>
        </w:rPr>
        <w:t xml:space="preserve"> Option 1</w:t>
      </w:r>
      <w:r w:rsidR="002164FA">
        <w:rPr>
          <w:b/>
          <w:sz w:val="22"/>
          <w:szCs w:val="22"/>
          <w:lang w:eastAsia="zh-CN"/>
        </w:rPr>
        <w:t>, we prefer that further studies from other companies should be considered before the final decision is made.</w:t>
      </w:r>
    </w:p>
    <w:p w14:paraId="4365D0B5" w14:textId="77777777" w:rsidR="0082696E" w:rsidRDefault="000A365D" w:rsidP="0082696E">
      <w:pPr>
        <w:snapToGrid w:val="0"/>
        <w:spacing w:before="60" w:after="60"/>
        <w:rPr>
          <w:b/>
          <w:bCs/>
          <w:i/>
          <w:iCs/>
          <w:sz w:val="22"/>
          <w:szCs w:val="22"/>
          <w:lang w:eastAsia="zh-CN"/>
        </w:rPr>
      </w:pPr>
      <w:r w:rsidRPr="0082696E">
        <w:rPr>
          <w:b/>
          <w:noProof/>
          <w:sz w:val="22"/>
          <w:szCs w:val="22"/>
        </w:rPr>
        <w:t xml:space="preserve">Proposal </w:t>
      </w:r>
      <w:r w:rsidR="008A4443" w:rsidRPr="0082696E">
        <w:rPr>
          <w:b/>
          <w:noProof/>
          <w:sz w:val="22"/>
          <w:szCs w:val="22"/>
        </w:rPr>
        <w:t>2</w:t>
      </w:r>
      <w:r w:rsidRPr="0082696E">
        <w:rPr>
          <w:b/>
          <w:noProof/>
          <w:sz w:val="22"/>
          <w:szCs w:val="22"/>
        </w:rPr>
        <w:t>:</w:t>
      </w:r>
      <w:r w:rsidR="008A4443" w:rsidRPr="0082696E">
        <w:rPr>
          <w:b/>
          <w:noProof/>
          <w:sz w:val="22"/>
          <w:szCs w:val="22"/>
        </w:rPr>
        <w:t xml:space="preserve"> </w:t>
      </w:r>
      <w:r w:rsidR="0082696E" w:rsidRPr="0082696E">
        <w:rPr>
          <w:b/>
          <w:bCs/>
          <w:sz w:val="22"/>
          <w:szCs w:val="22"/>
          <w:lang w:eastAsia="zh-CN"/>
        </w:rPr>
        <w:t>For the optional UE capability, we propose that Option 1 to be implemented per band per band pair per BC</w:t>
      </w:r>
      <w:r w:rsidR="0082696E">
        <w:rPr>
          <w:b/>
          <w:bCs/>
          <w:i/>
          <w:iCs/>
          <w:sz w:val="22"/>
          <w:szCs w:val="22"/>
          <w:lang w:eastAsia="zh-CN"/>
        </w:rPr>
        <w:t>.</w:t>
      </w:r>
    </w:p>
    <w:p w14:paraId="05CC6F0A" w14:textId="30DADE44" w:rsidR="005E69AE" w:rsidRDefault="0062595A" w:rsidP="008A4443">
      <w:r w:rsidRPr="0082696E">
        <w:rPr>
          <w:b/>
          <w:sz w:val="22"/>
          <w:szCs w:val="22"/>
        </w:rPr>
        <w:fldChar w:fldCharType="end"/>
      </w:r>
    </w:p>
    <w:p w14:paraId="5D2DDC34" w14:textId="77777777" w:rsidR="005E69AE" w:rsidRDefault="005E69AE" w:rsidP="00606775">
      <w:pPr>
        <w:pStyle w:val="Heading1"/>
        <w:pBdr>
          <w:top w:val="single" w:sz="12" w:space="21" w:color="auto"/>
        </w:pBdr>
      </w:pPr>
      <w:r>
        <w:t>4</w:t>
      </w:r>
      <w:r>
        <w:tab/>
        <w:t>References</w:t>
      </w:r>
    </w:p>
    <w:p w14:paraId="731905A1" w14:textId="3B1AC60A" w:rsidR="005E69AE" w:rsidRPr="0015264E" w:rsidRDefault="008A4443" w:rsidP="008A4443">
      <w:pPr>
        <w:rPr>
          <w:bCs/>
          <w:sz w:val="22"/>
          <w:szCs w:val="22"/>
        </w:rPr>
      </w:pPr>
      <w:r w:rsidRPr="008A4443">
        <w:rPr>
          <w:sz w:val="22"/>
          <w:szCs w:val="22"/>
        </w:rPr>
        <w:t xml:space="preserve">[1] </w:t>
      </w:r>
      <w:r w:rsidRPr="008A4443">
        <w:rPr>
          <w:rFonts w:eastAsiaTheme="minorEastAsia"/>
          <w:bCs/>
          <w:sz w:val="22"/>
          <w:szCs w:val="22"/>
          <w:lang w:eastAsia="zh-CN"/>
        </w:rPr>
        <w:t>R4-2220</w:t>
      </w:r>
      <w:r w:rsidR="0015264E">
        <w:rPr>
          <w:rFonts w:eastAsiaTheme="minorEastAsia"/>
          <w:bCs/>
          <w:sz w:val="22"/>
          <w:szCs w:val="22"/>
          <w:lang w:eastAsia="zh-CN"/>
        </w:rPr>
        <w:t>546</w:t>
      </w:r>
      <w:r w:rsidRPr="008A4443">
        <w:rPr>
          <w:rFonts w:eastAsiaTheme="minorEastAsia"/>
          <w:bCs/>
          <w:sz w:val="22"/>
          <w:szCs w:val="22"/>
          <w:lang w:eastAsia="zh-CN"/>
        </w:rPr>
        <w:t xml:space="preserve">: </w:t>
      </w:r>
      <w:r w:rsidR="0015264E" w:rsidRPr="0015264E">
        <w:rPr>
          <w:rFonts w:ascii="Arial" w:hAnsi="Arial" w:cs="Arial"/>
          <w:bCs/>
          <w:sz w:val="22"/>
          <w:szCs w:val="22"/>
          <w:lang w:eastAsia="en-GB"/>
        </w:rPr>
        <w:t>WF on UE Tx switching requirement for single TAG</w:t>
      </w:r>
    </w:p>
    <w:p w14:paraId="2EFB1284" w14:textId="77777777" w:rsidR="00B06A96" w:rsidRPr="004D3578" w:rsidRDefault="00B06A96" w:rsidP="008A4443"/>
    <w:p w14:paraId="21F9D74F" w14:textId="77777777" w:rsidR="005E69AE" w:rsidRPr="005E69AE" w:rsidRDefault="005E69AE" w:rsidP="005E69AE"/>
    <w:bookmarkEnd w:id="0"/>
    <w:p w14:paraId="08C5B690" w14:textId="77777777" w:rsidR="002675F0" w:rsidRPr="002675F0" w:rsidRDefault="002675F0" w:rsidP="002675F0"/>
    <w:sectPr w:rsidR="002675F0" w:rsidRPr="002675F0" w:rsidSect="00114E2C">
      <w:headerReference w:type="default" r:id="rId10"/>
      <w:footerReference w:type="default" r:id="rId11"/>
      <w:footerReference w:type="first" r:id="rId12"/>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CAB9ED" w14:textId="77777777" w:rsidR="004A5957" w:rsidRDefault="004A5957">
      <w:r>
        <w:separator/>
      </w:r>
    </w:p>
  </w:endnote>
  <w:endnote w:type="continuationSeparator" w:id="0">
    <w:p w14:paraId="1814A117" w14:textId="77777777" w:rsidR="004A5957" w:rsidRDefault="004A59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77316" w14:textId="227602B4" w:rsidR="00E72324" w:rsidRDefault="00E72324">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448A6" w14:textId="15F358C9" w:rsidR="00114E2C" w:rsidRDefault="00114E2C"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EBDC7F" w14:textId="77777777" w:rsidR="004A5957" w:rsidRDefault="004A5957">
      <w:r>
        <w:separator/>
      </w:r>
    </w:p>
  </w:footnote>
  <w:footnote w:type="continuationSeparator" w:id="0">
    <w:p w14:paraId="26B524EE" w14:textId="77777777" w:rsidR="004A5957" w:rsidRDefault="004A59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833BB"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27B2149"/>
    <w:multiLevelType w:val="hybridMultilevel"/>
    <w:tmpl w:val="4DC4EFD2"/>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2376"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5" w15:restartNumberingAfterBreak="0">
    <w:nsid w:val="199815E3"/>
    <w:multiLevelType w:val="multilevel"/>
    <w:tmpl w:val="B2DC1C58"/>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6" w15:restartNumberingAfterBreak="0">
    <w:nsid w:val="2B297B96"/>
    <w:multiLevelType w:val="hybridMultilevel"/>
    <w:tmpl w:val="141CE4DE"/>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7"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17711743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6368873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104262146">
    <w:abstractNumId w:val="1"/>
  </w:num>
  <w:num w:numId="4" w16cid:durableId="402919946">
    <w:abstractNumId w:val="9"/>
  </w:num>
  <w:num w:numId="5" w16cid:durableId="2119981586">
    <w:abstractNumId w:val="2"/>
  </w:num>
  <w:num w:numId="6" w16cid:durableId="1650086366">
    <w:abstractNumId w:val="2"/>
  </w:num>
  <w:num w:numId="7" w16cid:durableId="760569196">
    <w:abstractNumId w:val="7"/>
  </w:num>
  <w:num w:numId="8" w16cid:durableId="1856533938">
    <w:abstractNumId w:val="3"/>
  </w:num>
  <w:num w:numId="9" w16cid:durableId="1461264447">
    <w:abstractNumId w:val="6"/>
  </w:num>
  <w:num w:numId="10" w16cid:durableId="1159543564">
    <w:abstractNumId w:val="8"/>
  </w:num>
  <w:num w:numId="11" w16cid:durableId="1002204621">
    <w:abstractNumId w:val="4"/>
  </w:num>
  <w:num w:numId="12" w16cid:durableId="7453045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53"/>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66528"/>
    <w:rsid w:val="00080512"/>
    <w:rsid w:val="000A365D"/>
    <w:rsid w:val="000A68F3"/>
    <w:rsid w:val="000C47C3"/>
    <w:rsid w:val="000D58AB"/>
    <w:rsid w:val="00104BC6"/>
    <w:rsid w:val="00114E2C"/>
    <w:rsid w:val="00133525"/>
    <w:rsid w:val="0015264E"/>
    <w:rsid w:val="0015272B"/>
    <w:rsid w:val="00154BCD"/>
    <w:rsid w:val="00166AE7"/>
    <w:rsid w:val="001A46C4"/>
    <w:rsid w:val="001A4C42"/>
    <w:rsid w:val="001C21C3"/>
    <w:rsid w:val="001D02C2"/>
    <w:rsid w:val="001F0C1D"/>
    <w:rsid w:val="001F1132"/>
    <w:rsid w:val="001F168B"/>
    <w:rsid w:val="002164FA"/>
    <w:rsid w:val="002347A2"/>
    <w:rsid w:val="00247926"/>
    <w:rsid w:val="002675F0"/>
    <w:rsid w:val="00276EE4"/>
    <w:rsid w:val="002B6339"/>
    <w:rsid w:val="002E00EE"/>
    <w:rsid w:val="003172DC"/>
    <w:rsid w:val="0034052F"/>
    <w:rsid w:val="0035462D"/>
    <w:rsid w:val="00354DC1"/>
    <w:rsid w:val="003669FD"/>
    <w:rsid w:val="003765B8"/>
    <w:rsid w:val="003A0483"/>
    <w:rsid w:val="003C3971"/>
    <w:rsid w:val="003E7753"/>
    <w:rsid w:val="00423334"/>
    <w:rsid w:val="00424EF7"/>
    <w:rsid w:val="004345EC"/>
    <w:rsid w:val="004826A9"/>
    <w:rsid w:val="004A5957"/>
    <w:rsid w:val="004C1601"/>
    <w:rsid w:val="004D3578"/>
    <w:rsid w:val="004E213A"/>
    <w:rsid w:val="004F0988"/>
    <w:rsid w:val="004F3340"/>
    <w:rsid w:val="004F3E3D"/>
    <w:rsid w:val="0053388B"/>
    <w:rsid w:val="00535773"/>
    <w:rsid w:val="00543E6C"/>
    <w:rsid w:val="00544E06"/>
    <w:rsid w:val="00565087"/>
    <w:rsid w:val="00572E14"/>
    <w:rsid w:val="00575C99"/>
    <w:rsid w:val="005973BE"/>
    <w:rsid w:val="005A5986"/>
    <w:rsid w:val="005D2E01"/>
    <w:rsid w:val="005D7526"/>
    <w:rsid w:val="005E69AE"/>
    <w:rsid w:val="00602AEA"/>
    <w:rsid w:val="00606775"/>
    <w:rsid w:val="00607E3C"/>
    <w:rsid w:val="00614FDF"/>
    <w:rsid w:val="006246A7"/>
    <w:rsid w:val="0062595A"/>
    <w:rsid w:val="0063543D"/>
    <w:rsid w:val="00647114"/>
    <w:rsid w:val="006A323F"/>
    <w:rsid w:val="006B30D0"/>
    <w:rsid w:val="006C3D95"/>
    <w:rsid w:val="006E5C86"/>
    <w:rsid w:val="00713C44"/>
    <w:rsid w:val="00734A5B"/>
    <w:rsid w:val="0074026F"/>
    <w:rsid w:val="007429F6"/>
    <w:rsid w:val="00744E76"/>
    <w:rsid w:val="00752198"/>
    <w:rsid w:val="00753881"/>
    <w:rsid w:val="00774DA4"/>
    <w:rsid w:val="00781F0F"/>
    <w:rsid w:val="007A02A9"/>
    <w:rsid w:val="007B600E"/>
    <w:rsid w:val="007F0F4A"/>
    <w:rsid w:val="008028A4"/>
    <w:rsid w:val="00820B25"/>
    <w:rsid w:val="0082696E"/>
    <w:rsid w:val="00830747"/>
    <w:rsid w:val="008365C4"/>
    <w:rsid w:val="008768CA"/>
    <w:rsid w:val="00876BF1"/>
    <w:rsid w:val="008A4443"/>
    <w:rsid w:val="008C384C"/>
    <w:rsid w:val="008E7986"/>
    <w:rsid w:val="008F1001"/>
    <w:rsid w:val="008F65E8"/>
    <w:rsid w:val="0090271F"/>
    <w:rsid w:val="00902E23"/>
    <w:rsid w:val="009114D7"/>
    <w:rsid w:val="0091348E"/>
    <w:rsid w:val="00917CCB"/>
    <w:rsid w:val="009356CE"/>
    <w:rsid w:val="00942EC2"/>
    <w:rsid w:val="009F37B7"/>
    <w:rsid w:val="009F5E43"/>
    <w:rsid w:val="009F705B"/>
    <w:rsid w:val="00A10F02"/>
    <w:rsid w:val="00A164B4"/>
    <w:rsid w:val="00A26956"/>
    <w:rsid w:val="00A53724"/>
    <w:rsid w:val="00A73129"/>
    <w:rsid w:val="00A82346"/>
    <w:rsid w:val="00A92BA1"/>
    <w:rsid w:val="00AC6BC6"/>
    <w:rsid w:val="00AE3797"/>
    <w:rsid w:val="00B06A96"/>
    <w:rsid w:val="00B15449"/>
    <w:rsid w:val="00B93086"/>
    <w:rsid w:val="00BA19ED"/>
    <w:rsid w:val="00BA300B"/>
    <w:rsid w:val="00BA4B8D"/>
    <w:rsid w:val="00BC0F7D"/>
    <w:rsid w:val="00BE3255"/>
    <w:rsid w:val="00BF128E"/>
    <w:rsid w:val="00C1496A"/>
    <w:rsid w:val="00C33079"/>
    <w:rsid w:val="00C4330D"/>
    <w:rsid w:val="00C45231"/>
    <w:rsid w:val="00C72833"/>
    <w:rsid w:val="00C80F1D"/>
    <w:rsid w:val="00C93F40"/>
    <w:rsid w:val="00CA3D0C"/>
    <w:rsid w:val="00CF20E3"/>
    <w:rsid w:val="00D309CC"/>
    <w:rsid w:val="00D33156"/>
    <w:rsid w:val="00D331F2"/>
    <w:rsid w:val="00D46431"/>
    <w:rsid w:val="00D54ABE"/>
    <w:rsid w:val="00D56A52"/>
    <w:rsid w:val="00D57972"/>
    <w:rsid w:val="00D675A9"/>
    <w:rsid w:val="00D738D6"/>
    <w:rsid w:val="00D755EB"/>
    <w:rsid w:val="00D87E00"/>
    <w:rsid w:val="00D9134D"/>
    <w:rsid w:val="00DA7A03"/>
    <w:rsid w:val="00DB1818"/>
    <w:rsid w:val="00DB3ED1"/>
    <w:rsid w:val="00DC309B"/>
    <w:rsid w:val="00DC4DA2"/>
    <w:rsid w:val="00DD4C17"/>
    <w:rsid w:val="00DF2B1F"/>
    <w:rsid w:val="00DF6189"/>
    <w:rsid w:val="00DF62CD"/>
    <w:rsid w:val="00E16509"/>
    <w:rsid w:val="00E276E8"/>
    <w:rsid w:val="00E346F6"/>
    <w:rsid w:val="00E44582"/>
    <w:rsid w:val="00E52814"/>
    <w:rsid w:val="00E72324"/>
    <w:rsid w:val="00E72ABE"/>
    <w:rsid w:val="00E77645"/>
    <w:rsid w:val="00EC4A25"/>
    <w:rsid w:val="00EE5AA7"/>
    <w:rsid w:val="00F025A2"/>
    <w:rsid w:val="00F04712"/>
    <w:rsid w:val="00F21311"/>
    <w:rsid w:val="00F22EC7"/>
    <w:rsid w:val="00F325C8"/>
    <w:rsid w:val="00F62AEB"/>
    <w:rsid w:val="00F653B8"/>
    <w:rsid w:val="00F70647"/>
    <w:rsid w:val="00FA1266"/>
    <w:rsid w:val="00FB34D2"/>
    <w:rsid w:val="00FC1192"/>
    <w:rsid w:val="00FC7769"/>
    <w:rsid w:val="00FD00E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ListParagraph">
    <w:name w:val="List Paragraph"/>
    <w:aliases w:val="列出段落,- Bullets,목록 단락,リスト段落,?? ??,?????,????,Lista1,列出段落1,中等深浅网格 1 - 着色 21,¥¡¡¡¡ì¬º¥¹¥È¶ÎÂä,ÁÐ³ö¶ÎÂä,列表段落1,—ño’i—Ž,¥ê¥¹¥È¶ÎÂä,1st level - Bullet List Paragraph,Lettre d'introduction,Paragrafo elenco,Normal bullet 2,Bullet list,목록단락,列,列表段落"/>
    <w:basedOn w:val="Normal"/>
    <w:link w:val="ListParagraphChar"/>
    <w:uiPriority w:val="34"/>
    <w:qFormat/>
    <w:rsid w:val="007A02A9"/>
    <w:pPr>
      <w:overflowPunct w:val="0"/>
      <w:autoSpaceDE w:val="0"/>
      <w:autoSpaceDN w:val="0"/>
      <w:adjustRightInd w:val="0"/>
      <w:ind w:left="720"/>
      <w:contextualSpacing/>
      <w:textAlignment w:val="baseline"/>
    </w:pPr>
    <w:rPr>
      <w:rFonts w:eastAsia="SimSun"/>
    </w:rPr>
  </w:style>
  <w:style w:type="character" w:customStyle="1" w:styleId="ListParagraphChar">
    <w:name w:val="List Paragraph Char"/>
    <w:aliases w:val="列出段落 Char,- Bullets Char,목록 단락 Char,リスト段落 Char,?? ?? Char,????? Char,???? Char,Lista1 Char,列出段落1 Char,中等深浅网格 1 - 着色 21 Char,¥¡¡¡¡ì¬º¥¹¥È¶ÎÂä Char,ÁÐ³ö¶ÎÂä Char,列表段落1 Char,—ño’i—Ž Char,¥ê¥¹¥È¶ÎÂä Char,Lettre d'introduction Char"/>
    <w:link w:val="ListParagraph"/>
    <w:uiPriority w:val="34"/>
    <w:qFormat/>
    <w:rsid w:val="007A02A9"/>
    <w:rPr>
      <w:rFonts w:eastAsia="SimSu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049962-C671-A743-A102-EF0DB71B9B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0</TotalTime>
  <Pages>1</Pages>
  <Words>710</Words>
  <Characters>4047</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4748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Emmanuel Ngompe</cp:lastModifiedBy>
  <cp:revision>2</cp:revision>
  <cp:lastPrinted>2023-02-07T16:09:00Z</cp:lastPrinted>
  <dcterms:created xsi:type="dcterms:W3CDTF">2023-02-17T15:59:00Z</dcterms:created>
  <dcterms:modified xsi:type="dcterms:W3CDTF">2023-02-17T15:59:00Z</dcterms:modified>
  <cp:category/>
</cp:coreProperties>
</file>